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182_ES25_TFB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GS Nieder-Olm Umgestaltung Pausenho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schafts-, Tief- und Straß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